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microct-ana-unibe-ch/microvasculature-manuscript@5e0e4eb</w:t>
        </w:r>
      </w:hyperlink>
      <w:r>
        <w:t xml:space="preserve"> </w:t>
      </w:r>
      <w:r>
        <w:t xml:space="preserve">on March 14,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Another alternative to detect vessels within bone is synchrotron-radiation based tomography, specifically employing phase contrast-tomography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Albeit its potential, synchrotron-radiation based tomography is not as easily attainable for most preclinical researchers as microCT and has severe drawbacks in terms of visualized sample volume.</w:t>
      </w:r>
    </w:p>
    <w:p>
      <w:pPr>
        <w:pStyle w:val="BodyText"/>
      </w:pP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60-week-old C57BL/6 mouse, and six female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p>
      <w:pPr>
        <w:pStyle w:val="BodyText"/>
      </w:pP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imaging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End w:id="101"/>
    <w:bookmarkStart w:id="136" w:name="contrast-agent-μangiofil"/>
    <w:p>
      <w:pPr>
        <w:pStyle w:val="Heading3"/>
      </w:pPr>
      <w:r>
        <w:t xml:space="preserve">Contrast agent μAngiofil</w:t>
      </w:r>
    </w:p>
    <w:p>
      <w:pPr>
        <w:pStyle w:val="FirstParagraph"/>
      </w:pPr>
      <w:r>
        <w:t xml:space="preserve">For all the applications mentioned below, we instilled the vasculature of the model animals with the iodine-based contrast agent μAngiofil (Fumedica AG, Switzerland).</w:t>
      </w:r>
    </w:p>
    <w:p>
      <w:pPr>
        <w:pStyle w:val="BodyText"/>
      </w:pPr>
      <w:r>
        <w:t xml:space="preserve">The contrast agent was prepared according to the manufacturer’s recommendations.</w:t>
      </w:r>
      <w:r>
        <w:t xml:space="preserve"> </w:t>
      </w:r>
      <w:r>
        <w:t xml:space="preserve">Briefly, in a preparation step two out of three components (labelled</w:t>
      </w:r>
      <w:r>
        <w:t xml:space="preserve"> </w:t>
      </w:r>
      <w:r>
        <w:t xml:space="preserve">‘</w:t>
      </w:r>
      <w:r>
        <w:t xml:space="preserve">Contrast Solution</w:t>
      </w:r>
      <w:r>
        <w:t xml:space="preserve">’</w:t>
      </w:r>
      <w:r>
        <w:t xml:space="preserve"> </w:t>
      </w:r>
      <w:r>
        <w:t xml:space="preserve">(blue) and</w:t>
      </w:r>
      <w:r>
        <w:t xml:space="preserve"> </w:t>
      </w:r>
      <w:r>
        <w:t xml:space="preserve">‘</w:t>
      </w:r>
      <w:r>
        <w:t xml:space="preserve">PU</w:t>
      </w:r>
      <w:r>
        <w:t xml:space="preserve">’</w:t>
      </w:r>
      <w:r>
        <w:t xml:space="preserve">) are mixed together.</w:t>
      </w:r>
      <w:r>
        <w:t xml:space="preserve"> </w:t>
      </w:r>
      <w:r>
        <w:t xml:space="preserve">During instillation, these components are again mixed with a hardener in a mixing tube.</w:t>
      </w:r>
      <w:r>
        <w:t xml:space="preserve"> </w:t>
      </w:r>
      <w:r>
        <w:t xml:space="preserve">The instillation into the cannulated animal vascular system is ideally performed with a syringe pump, taking care of a reproducible instillation speed.</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Briefly, heparinized animals were deeply anesthetized (details for each animal model are given below).</w:t>
      </w:r>
      <w:r>
        <w:t xml:space="preserve"> </w:t>
      </w:r>
      <w:r>
        <w:t xml:space="preserve">Here is a brief description of the perfusion procedure, as performed in mice: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p>
    <w:p>
      <w:pPr>
        <w:pStyle w:val="BodyText"/>
      </w:pP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bookmarkStart w:id="106" w:name="X35cf713b64ce8b6d344f8090fcac85da7bd58df"/>
    <w:p>
      <w:pPr>
        <w:pStyle w:val="Heading4"/>
      </w:pPr>
      <w:r>
        <w:t xml:space="preserve">Contrast-enhanced microAngioCT of mice using μAngiofil</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46</w:t>
        </w:r>
      </w:hyperlink>
      <w:r>
        <w:t xml:space="preserve">]</w:t>
      </w:r>
      <w:r>
        <w:t xml:space="preserve"> </w:t>
      </w:r>
      <w:r>
        <w:t xml:space="preserve">by adapting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r>
        <w:t xml:space="preserve"> </w:t>
      </w:r>
      <w:r>
        <w:t xml:space="preserve">This resulted in an isotropic voxel size of 3.19 μm.</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This resulted in an isotropic voxel size of 21 μm.</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r>
        <w:t xml:space="preserve"> </w:t>
      </w:r>
      <w:r>
        <w:t xml:space="preserve">This resulted in an isotropic voxel size of 9 μm.</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enhancing-cntrast-dual-energy-microct"/>
    <w:p>
      <w:pPr>
        <w:pStyle w:val="Heading4"/>
      </w:pPr>
      <w:r>
        <w:t xml:space="preserve">Enhancing cntrast dual-energy MicroCT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research.</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5e0e4ebc4cd87222100969dcfc7f303777def1f9#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5e0e4ebc4cd87222100969dcfc7f303777def1f9"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5e0e4ebc4cd87222100969dcfc7f303777def1f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5e0e4ebc4cd87222100969dcfc7f303777def1f9#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5e0e4ebc4cd87222100969dcfc7f303777def1f9"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5e0e4ebc4cd87222100969dcfc7f303777def1f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2025-03-14T12:34:00Z</dcterms:created>
  <dcterms:modified xsi:type="dcterms:W3CDTF">2025-03-14T12:34:00Z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